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B6BB" w14:textId="77777777" w:rsidR="00C776C8" w:rsidRDefault="00C776C8" w:rsidP="00601924">
      <w:pPr>
        <w:spacing w:after="120" w:line="276" w:lineRule="auto"/>
        <w:jc w:val="center"/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</w:pPr>
    </w:p>
    <w:p w14:paraId="77E481DF" w14:textId="5A51F2B2" w:rsidR="00BE19EE" w:rsidRPr="00BE19EE" w:rsidRDefault="00BE19EE" w:rsidP="00601924">
      <w:pPr>
        <w:spacing w:after="120" w:line="276" w:lineRule="auto"/>
        <w:jc w:val="center"/>
        <w:rPr>
          <w:rFonts w:ascii="Times New Roman" w:eastAsia="Arial" w:hAnsi="Times New Roman" w:cs="Times New Roman"/>
          <w:caps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  <w:t xml:space="preserve">Közös szakmai alapvetés </w:t>
      </w:r>
      <w:r w:rsidR="00E23E78" w:rsidRPr="00BE19EE"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  <w:t>m</w:t>
      </w:r>
      <w:r w:rsidRPr="00BE19EE">
        <w:rPr>
          <w:rFonts w:ascii="Times New Roman" w:eastAsia="Arial" w:hAnsi="Times New Roman" w:cs="Times New Roman"/>
          <w:b/>
          <w:caps/>
          <w:kern w:val="0"/>
          <w:lang w:val="en-US"/>
          <w14:ligatures w14:val="none"/>
        </w:rPr>
        <w:t>agyar tűzvédelem korszerűsítéséhez</w:t>
      </w:r>
    </w:p>
    <w:p w14:paraId="04D030E3" w14:textId="77777777" w:rsidR="00C776C8" w:rsidRDefault="00C776C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3D94F9EF" w14:textId="2CEAE652" w:rsidR="005507D2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közös nemzeti ügy. Közvetlenül szolgálja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mberi élet és testi épség védelmét,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v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agyonbiztonságot,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pített és természeti környezet megóvását,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i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par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azdaság működőképességét,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enntartható fejlődést.</w:t>
      </w:r>
      <w:r w:rsidR="005507D2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r w:rsidR="005507D2" w:rsidRPr="005507D2">
        <w:rPr>
          <w:rFonts w:ascii="Times New Roman" w:eastAsia="Arial" w:hAnsi="Times New Roman" w:cs="Times New Roman"/>
          <w:kern w:val="0"/>
          <w:lang w:val="en-US"/>
          <w14:ligatures w14:val="none"/>
        </w:rPr>
        <w:t>N</w:t>
      </w:r>
      <w:r w:rsidR="00A202CD" w:rsidRPr="005507D2">
        <w:rPr>
          <w:rFonts w:ascii="Times New Roman" w:eastAsia="Arial" w:hAnsi="Times New Roman" w:cs="Times New Roman"/>
          <w:kern w:val="0"/>
          <w:lang w:val="en-US"/>
          <w14:ligatures w14:val="none"/>
        </w:rPr>
        <w:t>em többletteher, hanem életvédelmi, gazdaságvédelmi és társadalmi biztonsági befektetés.</w:t>
      </w:r>
    </w:p>
    <w:p w14:paraId="7171EF35" w14:textId="5294561C" w:rsidR="00BE19EE" w:rsidRPr="00BE19EE" w:rsidRDefault="00111C73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gyszerre életvédelmi, közbiztonsági, gazdaságvédelmi, környezetvédelmi és társadalmi ellenálló képességi kérdés. Ezért fejlesztése nem egyetlen szervezet vagy szakmai részterület ügye, hanem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eljes tűzvédelmi rendszer közös feladata.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iztonságtudatos társadalmi és szakmai magatartás mindannyiunk közös felelőssége, hogy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űzkockázatok felismerése, megelőzése és kezelése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indennapi működés részévé váljon.</w:t>
      </w:r>
    </w:p>
    <w:p w14:paraId="3AF2BC97" w14:textId="36F3D993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Tűzvédelmi Egyeztető Fórum célja, hogy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azai tűzvédelem meghatározó szakmai szervezeteinek együttműködésére építve hozzájáruljon egy korszerű, adatvezérelt, kockázatarányos és együttműködésen alapuló magyar tűzvédelmi rendszer megalapozásához.</w:t>
      </w:r>
    </w:p>
    <w:p w14:paraId="0D39BBE9" w14:textId="49566B1E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nem egymástól elkülönült részterületek halmaza, hanem összetett rendszer.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űzmegelőzés,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entő tűzvédelem,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űzvizsgálat,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tervezés,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ivitelezés,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atósági működés,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épzés,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utatás,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ivatásos, önkéntes, önkormányzati és létesítményi tűzoltóságok csak összehangoltan képesek optimálisan szolgálni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iztonságot. </w:t>
      </w:r>
    </w:p>
    <w:p w14:paraId="46E260B7" w14:textId="3DF2AEF9" w:rsidR="00717C53" w:rsidRDefault="00E23E78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D46975"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órum célja, hogy </w:t>
      </w:r>
      <w:r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D46975" w:rsidRPr="00D46975">
        <w:rPr>
          <w:rFonts w:ascii="Times New Roman" w:eastAsia="Arial" w:hAnsi="Times New Roman" w:cs="Times New Roman"/>
          <w:kern w:val="0"/>
          <w:lang w:val="en-US"/>
          <w14:ligatures w14:val="none"/>
        </w:rPr>
        <w:t>gyes szakterületek tapasztalatait és javaslatait közös szakmai alapba rendezze, amely világos keretet adhat Magyarország hosszú távú tűzvédelmi stratégiájának kidolgozásához.</w:t>
      </w:r>
    </w:p>
    <w:p w14:paraId="7CD0C108" w14:textId="77777777" w:rsidR="00F13C1E" w:rsidRDefault="00F13C1E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11156861" w14:textId="62AAA0A9" w:rsidR="00BE19EE" w:rsidRPr="00BE19EE" w:rsidRDefault="00BE19EE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Alapelveink</w:t>
      </w:r>
    </w:p>
    <w:p w14:paraId="7D520FF3" w14:textId="4F99FFC4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Tűzvédelmi Egyeztető Fórum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azai tűzvédelem korszerűsítését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lábbi alapelvek mentén tartja szükségesnek:</w:t>
      </w:r>
    </w:p>
    <w:p w14:paraId="503ADEC1" w14:textId="153198A9" w:rsidR="00BE19EE" w:rsidRPr="00BE19EE" w:rsidRDefault="00E23E78" w:rsidP="00601924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e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mberi élet elsődlegessége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legfontosabb célja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let,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esti épség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gészség védelme. Minden szakmai, szervezeti és szabályozási fejlesztést ebből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lapelvből kell levezetni.</w:t>
      </w:r>
    </w:p>
    <w:p w14:paraId="7D806727" w14:textId="42FB800E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Biztonságtudatosság és felelős magatartás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űzbiztonság nem kizárólag hatósági, tűzoltói vagy mérnöki feladat, hanem közös társadalmi és szakmai felelősség. Erősíteni kell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akosság,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zemeltetők,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azdasági szereplők,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ö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nkormányzatok és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zakmagyakorlók tűzvédelmi tudatosságát, hogy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űzkockázatok felismerése, csökkentése és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iztonságos magatartás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indennapi gyakorlat részévé váljon.</w:t>
      </w:r>
    </w:p>
    <w:p w14:paraId="42024997" w14:textId="56CBB3BD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lastRenderedPageBreak/>
        <w:t xml:space="preserve">Rendszerszemlélet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űzvédelmet egységes, egymásra épülő rendszerként kell kezelni.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egelőzés,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eavatkozás,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űzvizsgálat,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ervezés,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atósági </w:t>
      </w:r>
      <w:r w:rsidR="00DA59CF">
        <w:rPr>
          <w:rFonts w:ascii="Times New Roman" w:eastAsia="Arial" w:hAnsi="Times New Roman" w:cs="Times New Roman"/>
          <w:kern w:val="0"/>
          <w:lang w:val="en-US"/>
          <w14:ligatures w14:val="none"/>
        </w:rPr>
        <w:t>működés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és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épzés csak egymást erősítve lehet eredményes.</w:t>
      </w:r>
    </w:p>
    <w:p w14:paraId="6CCDFA99" w14:textId="542EF21B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Kockázatalapú gondolkodás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döntéseknek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v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alós kockázatokon kell alapulniuk. Figyelembe kell venni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elepülési, ipari, építészeti, üzemeltetési, társadalmi, közlekedési, vegetációs és klimatikus kockázatokat.</w:t>
      </w:r>
    </w:p>
    <w:p w14:paraId="3513AA22" w14:textId="1D5F81DA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Adatvezérelt döntéshozatal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ejlesztési irányokat mérhető adatokra kell építeni: tűzeseti tapasztalatokra, beavatkozási időkre, káralakulásra, területi lefedettségre, épületállományra, üzemeltetési tapasztalatokra és tűzvizsgálati következtetésekre.</w:t>
      </w:r>
    </w:p>
    <w:p w14:paraId="4E729937" w14:textId="41E73069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Teljesítményalapú működés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rendszer eredményességét nem kizárólag bemeneti feltételek alapján kell értékelni, hanem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ényleges védelmi teljesítmény szerint: milyen gyorsan, milyen képességgel és milyen eredményességgel képes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r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endszer megelőzni, kezelni és értékelni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űzeseteket.</w:t>
      </w:r>
    </w:p>
    <w:p w14:paraId="1D6CBC08" w14:textId="2FEA01A9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Országosan egységes, helyben differenciált védelem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lapvető szakmai elveknek országosan egységeseknek kell lenniük, de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egoldásokat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elyi kockázatokhoz, településszerkezethez, beavatkozási lehetőségekhez és gazdasági adottságokhoz kell igazítani.</w:t>
      </w:r>
    </w:p>
    <w:p w14:paraId="6F764BB5" w14:textId="0E3BD910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Tűzeseti tanulás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j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elentős tűzesetek és beavatkozások tapasztalatait rendszerszerűen fel kell dolgozni, és vissza kell vezetni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egelőzésbe,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zabályozásba,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zemeltetésbe,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épzésbe,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atósági munkába és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eavatkozási gyakorlatba.</w:t>
      </w:r>
    </w:p>
    <w:p w14:paraId="28433F90" w14:textId="78B6B025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Szakmai együttműködés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fejlesztése csak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á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llami, önkormányzati, kamarai, civil, gazdasági, oktatási, kutatási és tűzoltó szakmai szereplők érdemi együttműködésével lehet sikeres.</w:t>
      </w:r>
    </w:p>
    <w:p w14:paraId="36EA44DD" w14:textId="02B05636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Tudás, képzés és kutatás erősítése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orszerű tűzvédelem alapja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elkészült szakember,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olyamatos továbbképzés,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udományos háttér,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űzeseti tapasztalatok feldolgozása és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orszerű mérnöki módszerek alkalmazása.</w:t>
      </w:r>
    </w:p>
    <w:p w14:paraId="5460AC0C" w14:textId="4E358BAC" w:rsidR="00BE19EE" w:rsidRPr="00BE19EE" w:rsidRDefault="00BE19EE" w:rsidP="00601924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Fenntartható és gazdaságilag észszerű fejlesztés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fejlesztéseknek egyszerre kell növelniük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iztonságot, támogatniuk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n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emzetgazdasági versenyképességet, és kerülniük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zükségtelen műszaki, adminisztratív vagy pénzügyi terheket.</w:t>
      </w:r>
    </w:p>
    <w:p w14:paraId="05570A88" w14:textId="77777777" w:rsidR="00601924" w:rsidRDefault="00601924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</w:pPr>
    </w:p>
    <w:p w14:paraId="1BB5396E" w14:textId="01FA95F2" w:rsidR="00BE19EE" w:rsidRPr="00BE19EE" w:rsidRDefault="00BE19EE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Stratégiai céljaink</w:t>
      </w:r>
    </w:p>
    <w:p w14:paraId="1268E81C" w14:textId="14FFC061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tratégiai célok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fő szakmai területeit külön-külön jelenítik meg annak érdekében, hogy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entő tűzvédelem,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egelőzés,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atósági működés,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érnöki szakmagyakorlás,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épzés,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utatás és </w:t>
      </w:r>
      <w:r w:rsidRPr="006356D7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6356D7">
        <w:rPr>
          <w:rFonts w:ascii="Times New Roman" w:eastAsia="Arial" w:hAnsi="Times New Roman" w:cs="Times New Roman"/>
          <w:kern w:val="0"/>
          <w:lang w:val="en-US"/>
          <w14:ligatures w14:val="none"/>
        </w:rPr>
        <w:t>ö</w:t>
      </w:r>
      <w:r w:rsidR="006356D7" w:rsidRPr="006356D7">
        <w:rPr>
          <w:rFonts w:ascii="Times New Roman" w:eastAsia="Arial" w:hAnsi="Times New Roman" w:cs="Times New Roman"/>
          <w:kern w:val="0"/>
          <w:lang w:val="en-US"/>
          <w14:ligatures w14:val="none"/>
        </w:rPr>
        <w:t>nkéntes, önkormányzati és létesítményi tűzoltóságok szerepe és fejlesztési igényei</w:t>
      </w:r>
      <w:r w:rsidR="003D1FA4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önállóan is láthatóvá váljanak.</w:t>
      </w:r>
    </w:p>
    <w:p w14:paraId="5D9D4805" w14:textId="45C54308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órum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tűzvédelem korszerűsítése érdekében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lábbi stratégiai célokat tekinti kiemelt jelentőségűnek:</w:t>
      </w:r>
    </w:p>
    <w:p w14:paraId="0C760E8D" w14:textId="3A448AFC" w:rsidR="00626336" w:rsidRPr="00BD7AD5" w:rsidRDefault="00626336" w:rsidP="00EB63AE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D7AD5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Országos tűzvédelmi problématérkép elkészítése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–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ejlesztéseket valós helyzetértékelésre kell alapozni. Ennek része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erületi lefedettség,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eavatkozási idők,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űzeseti adatok,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pületállomány,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zemeltetési hiányosságok és 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626336">
        <w:rPr>
          <w:rFonts w:ascii="Times New Roman" w:eastAsia="Arial" w:hAnsi="Times New Roman" w:cs="Times New Roman"/>
          <w:kern w:val="0"/>
          <w:lang w:val="en-US"/>
          <w14:ligatures w14:val="none"/>
        </w:rPr>
        <w:t>iemelt kockázatok országos szintű feltárása.</w:t>
      </w:r>
    </w:p>
    <w:p w14:paraId="56152F69" w14:textId="29A5429B" w:rsidR="00EB63AE" w:rsidRPr="00EB63AE" w:rsidRDefault="00BE19EE" w:rsidP="00EB63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lastRenderedPageBreak/>
        <w:t xml:space="preserve">Nemzeti tűzvédelmi stratégia előkészítése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Szükséges egy hosszú távú, szakmai konszenzuson alapuló nemzeti tűzvédelmi stratégia kidolgozása, amely meghatározza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azai tűzvédelem fő fejlesztési irányait.</w:t>
      </w:r>
    </w:p>
    <w:p w14:paraId="018E349D" w14:textId="1B0E55A2" w:rsidR="00EB63AE" w:rsidRPr="00EB63AE" w:rsidRDefault="00E23E78" w:rsidP="00EB63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űzmegelőzés, 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entő tűzvédelem és 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űzvizsgálat összekapcsolása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űzesetek tanulságait vissza kell vezetni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zabályozásba,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ervezésbe,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zemeltetésbe,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épzésbe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eavatkozási gyakorlatba.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űzvizsgálat nem lezárása, hanem fejlesztési forrása kell legyen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r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endszernek.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úlyos tűzesetek ismétlődő mintázatait különösen fontos rendszerszerűen azonosítani.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v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isszatérő körülmények alapján célzott megelőzési, üzemeltetési, hatósági, képzési és beavatkozási intézkedéseket kell kialakítani.</w:t>
      </w:r>
    </w:p>
    <w:p w14:paraId="7FEF5EFA" w14:textId="6013A802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űzbiztonsági tudatosság erősítése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űzvédelem eredményessége nagymértékben függ attól, hogy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akosság,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i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ntézmények,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zemeltetők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azdasági szereplők mennyire ismerik fel és kezelik saját tűzvédelmi kockázataikat. Célzott, adatokra és tűzeseti tapasztalatokra épülő tájékoztatási, oktatási és prevenciós programokra van szükség, </w:t>
      </w:r>
      <w:r w:rsidR="00A2645D" w:rsidRPr="00A2645D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különös tekintettel </w:t>
      </w:r>
      <w:r w:rsidRPr="00A2645D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A2645D">
        <w:rPr>
          <w:rFonts w:ascii="Times New Roman" w:eastAsia="Arial" w:hAnsi="Times New Roman" w:cs="Times New Roman"/>
          <w:kern w:val="0"/>
          <w:lang w:val="en-US"/>
          <w14:ligatures w14:val="none"/>
        </w:rPr>
        <w:t>i</w:t>
      </w:r>
      <w:r w:rsidR="00A2645D" w:rsidRPr="00A2645D">
        <w:rPr>
          <w:rFonts w:ascii="Times New Roman" w:eastAsia="Arial" w:hAnsi="Times New Roman" w:cs="Times New Roman"/>
          <w:kern w:val="0"/>
          <w:lang w:val="en-US"/>
          <w14:ligatures w14:val="none"/>
        </w:rPr>
        <w:t>dőskorú, egyedül élő, szociálisan nehezebb helyzetben lévő vagy más okból fokozottan veszélyeztetett lakossági csoportokra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akóépületekre,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zemeltetési kockázatokra,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ülterületi és vegetációs tűzveszélyre,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ú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j technológiákból eredő kockázatokra.</w:t>
      </w:r>
    </w:p>
    <w:p w14:paraId="1D1B88A5" w14:textId="597A2F4A" w:rsidR="00BE19EE" w:rsidRPr="00BE19EE" w:rsidRDefault="00BE19EE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Adatvezérelt és kockázatalapú döntéstámogatás kialakítása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Olyan módszertani és informatikai háttérre van szükség, amely segíti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zakmai és kormányzati döntéseket, valamint lehetővé teszi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űzvédelmi fejlesztések hatásainak mérését.</w:t>
      </w:r>
    </w:p>
    <w:p w14:paraId="4455E41A" w14:textId="00A1D969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eavatkozási képességek javítása – 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Erősíteni kell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erületi lefedettséget,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lső beavatkozói teljesítményt,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c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súcsterhelések kezelését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peciális beavatkozási képességeket. Külön figyelmet kell fordítani azokra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érségekre, ahol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yors és hatékony első beavatkozás jelenleg nehezebben biztosítható.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eavatkozási képességek fejlesztését valós úthálózaton alapuló elérhetőségi vizsgálatokkal,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ényleges kiérkezési idők elemzésével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elyi tűzoltói kapacitások figyelembevételével kell megalapozni.</w:t>
      </w:r>
    </w:p>
    <w:p w14:paraId="2E1CA232" w14:textId="77935FF1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á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llami tűzoltóság modernizálása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á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llami tűzoltóság fejlesztését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yors, biztonságos és kockázatarányos beavatkozási képesség megerősítésére kell alapozni.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ivatásos tűzoltóság szervezeti és működési rendszerét úgy célszerű korszerűsíteni, hogy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elyi első beavatkozási képesség,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r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ugalmas területi működés,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orszerű szakmai és működéstámogató háttér,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o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rszágosan egységes beavatkozási, képzési, adatkezelési és teljesítménymérési standardok egymást erősítsék.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odernizáció során különösen fontos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űveletirányítás fejlesztése,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peciális beavatkozási kapacitások megerősítése,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űzoltói állomány szakmai és emberi megbecsülése,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űzeseti tapasztalatok rendszeres visszacsatolása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épzésbe,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aktikába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egelőzésbe.</w:t>
      </w:r>
    </w:p>
    <w:p w14:paraId="1B872F75" w14:textId="6C596C0C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DF12C1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DF12C1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ö</w:t>
      </w:r>
      <w:r w:rsidR="00DF12C1" w:rsidRPr="00DF12C1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nkéntes, önkormányzati és létesítményi tűzoltóságok szerepének megerősítése</w:t>
      </w:r>
      <w:r w:rsidR="00DF12C1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 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–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ö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nkéntes, önkormányzati és létesítményi tűzoltóságok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tűzvédelmi rendszer önálló értéket képviselő, nélkülözhetetlen szereplői. Helyismeretük, elkötelezettségük, szakmai tapasztalatuk és közösségi beágyazottságuk különösen fontos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g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yors első beavatkozásban,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erületi lefedettség javításában,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c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súcsterhelések kezelésében,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lhúzódó káresemények felszámolásában és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űzoltói utánpótlás biztosításában. Fejlesztésüknek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p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artnerségen,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lastRenderedPageBreak/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e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gységes szakmai követelményeken,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egfelelő képzésen,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orszerű technikai háttéren és 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D001D9" w:rsidRPr="00D001D9">
        <w:rPr>
          <w:rFonts w:ascii="Times New Roman" w:eastAsia="Arial" w:hAnsi="Times New Roman" w:cs="Times New Roman"/>
          <w:kern w:val="0"/>
          <w:lang w:val="en-US"/>
          <w14:ligatures w14:val="none"/>
        </w:rPr>
        <w:t>iszámítható finanszírozáson kell alapulnia.</w:t>
      </w:r>
    </w:p>
    <w:p w14:paraId="2C34666F" w14:textId="3F11D214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űzvédelmi mérnöki szakmagyakorlás fejlesztése – 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Erősíteni kell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tervezés, tervellenőrzés, műszaki ellenőrzés, felelős műszaki vezetés, szakértés és kivitelezési kontroll szakmai kereteit.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b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eruházások minősége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pületek tényleges tűzbiztonsága </w:t>
      </w:r>
      <w:r w:rsidR="00651A85" w:rsidRPr="00651A85">
        <w:rPr>
          <w:rFonts w:ascii="Times New Roman" w:eastAsia="Arial" w:hAnsi="Times New Roman" w:cs="Times New Roman"/>
          <w:kern w:val="0"/>
          <w:lang w:val="en-US"/>
          <w14:ligatures w14:val="none"/>
        </w:rPr>
        <w:t>megfelelő kompetenciákra, átlátható jogosultsági rendszerre és világos szakmai felelősségi keretekre építve biztosítható.</w:t>
      </w:r>
    </w:p>
    <w:p w14:paraId="714A7C60" w14:textId="6F291618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ü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zemeltetési tűzvédelem súlyának növelése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űzbiztonság nem ér véget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asználatbavétellel.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pületek, létesítmények és technológiák teljes életciklusában biztosítani kell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követelmények fenntartását, ellenőrzését, dokumentált kezelését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E94679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E94679" w:rsidRPr="00E94679">
        <w:rPr>
          <w:rFonts w:ascii="Times New Roman" w:eastAsia="Arial" w:hAnsi="Times New Roman" w:cs="Times New Roman"/>
          <w:kern w:val="0"/>
          <w:lang w:val="en-US"/>
          <w14:ligatures w14:val="none"/>
        </w:rPr>
        <w:t>indennapi üzemeltetési gyakorlatban is fenntartható tűzbiztonság erősítését.</w:t>
      </w:r>
    </w:p>
    <w:p w14:paraId="519256BA" w14:textId="61CAB4BB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űzvédelmi hatósági működés korszerűsítésének szakmai támogatása – 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DE00CB"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atósági rendszernek egyszerre kell biztosítania 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DE00CB"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letvédelmi és közbiztonsági célokat, valamint kiszámítható, szakmailag megalapozott keretet kell adnia 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DE00CB" w:rsidRPr="00DE00CB">
        <w:rPr>
          <w:rFonts w:ascii="Times New Roman" w:eastAsia="Arial" w:hAnsi="Times New Roman" w:cs="Times New Roman"/>
          <w:kern w:val="0"/>
          <w:lang w:val="en-US"/>
          <w14:ligatures w14:val="none"/>
        </w:rPr>
        <w:t>orszerű mérnöki megoldások alkalmazásához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, és hatékony, szakmailag megalapozott, kockázatalapú, átlátható és kiszámítható eljárási környezetet kell nyújtania.</w:t>
      </w:r>
    </w:p>
    <w:p w14:paraId="7615EE1E" w14:textId="31259063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zabályozási és irányelvi környezet továbbfejlesztése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űzvédelmi szabályozást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eljesítményalapú, kockázatarányos és mérnöki módszereket támogató irányba célszerű fejleszteni.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j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ogszabályi követelmények,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űszaki irányelvek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zakmai gyakorlat közötti kapcsolatot folyamatosan karban kell tartani.</w:t>
      </w:r>
    </w:p>
    <w:p w14:paraId="425CD8DA" w14:textId="467A62C7" w:rsidR="00BE19EE" w:rsidRP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épzés, továbbképzés, kutatás és laborháttér fejlesztése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orszerű tűzvédelemhez erős mérnökképzésre, tűzoltó szakmai képzésre, hatósági továbbképzésre, üzemeltetői tudásra, kutatási háttérre, tűzvédelmi laboratóriumi kapacitásra és valós tűzeseti tapasztalatokon alapuló tudásmegosztásra van szükség. Nagyobb szerepet kell kapnia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űzeseti adatok feldolgozásának,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érinformatikai kockázatelemzésnek,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h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elyi sajátosságok értékelésének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n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emzetközi jó gyakorlatok hazai adaptációjának.</w:t>
      </w:r>
    </w:p>
    <w:p w14:paraId="7EF80905" w14:textId="14B03C3C" w:rsidR="00BE19EE" w:rsidRPr="00BE19EE" w:rsidRDefault="00BE19EE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Biztonságos munkakörülmények és korszerű eszközrendszer –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űzoltói és tűzvédelmi feladatokat ellátó személyek számára biztosítani kell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eladatokhoz igazodó korszerű felszerelést, képzést, munkakörülményeket, egészségvédelmet és szakmai megbecsülést.</w:t>
      </w:r>
    </w:p>
    <w:p w14:paraId="0C7EFF41" w14:textId="65334CBD" w:rsidR="00BE19EE" w:rsidRDefault="00E23E78" w:rsidP="00601924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>s</w:t>
      </w:r>
      <w:r w:rsidR="00BE19EE" w:rsidRPr="00BE19EE">
        <w:rPr>
          <w:rFonts w:ascii="Times New Roman" w:eastAsia="Arial" w:hAnsi="Times New Roman" w:cs="Times New Roman"/>
          <w:b/>
          <w:kern w:val="0"/>
          <w:lang w:val="en-US"/>
          <w14:ligatures w14:val="none"/>
        </w:rPr>
        <w:t xml:space="preserve">zakmai párbeszéd intézményesítése –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órum kezdeményezi és támogatja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r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endszeres szakmai egyeztetést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ormányzattal,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á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llami szervekkel,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ö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nkormányzatokkal,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amarákkal,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űzoltó szervezetekkel,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pítőipari és üzemeltetői szereplőkkel, valamint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udományos és oktatási intézményekkel.</w:t>
      </w:r>
    </w:p>
    <w:p w14:paraId="0D4DEFF1" w14:textId="77777777" w:rsidR="00601924" w:rsidRPr="00BE19EE" w:rsidRDefault="00601924" w:rsidP="00601924">
      <w:pPr>
        <w:spacing w:after="120" w:line="276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7F130C98" w14:textId="61E647A6" w:rsidR="00BE19EE" w:rsidRPr="00BE19EE" w:rsidRDefault="00E23E78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órum szerepe</w:t>
      </w:r>
    </w:p>
    <w:p w14:paraId="18D714F6" w14:textId="35FF645D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Tűzvédelmi Egyeztető Fórum szakmai egyeztető platformként működik. Feladata, hogy összegyűjtse, rendszerezze és közös szakmai javaslatokká formálja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apasztalatokat.</w:t>
      </w:r>
    </w:p>
    <w:p w14:paraId="0E4BF105" w14:textId="2EE059F0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órum:</w:t>
      </w:r>
    </w:p>
    <w:p w14:paraId="126A0384" w14:textId="004F32E9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elősegíti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zakmai szervezetek közötti egyeztetést;</w:t>
      </w:r>
    </w:p>
    <w:p w14:paraId="0815A95C" w14:textId="77777777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közös álláspontok és javaslatok kialakítására törekszik;</w:t>
      </w:r>
    </w:p>
    <w:p w14:paraId="420EF00F" w14:textId="0DBD014B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lastRenderedPageBreak/>
        <w:t xml:space="preserve">támogatja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ormányzati döntés-előkészítést;</w:t>
      </w:r>
    </w:p>
    <w:p w14:paraId="521C4DC8" w14:textId="0F289025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részt kíván venni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n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emzeti tűzvédelmi stratégia szakmai megalapozásában;</w:t>
      </w:r>
    </w:p>
    <w:p w14:paraId="22E0E5CC" w14:textId="36B941FD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hozzájárul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űzvédelmi problématérkép elkészítéséhez;</w:t>
      </w:r>
    </w:p>
    <w:p w14:paraId="28DC8B6B" w14:textId="71455A27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ösztönzi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űzeseti tapasztalatok rendszerszerű feldolgozását;</w:t>
      </w:r>
    </w:p>
    <w:p w14:paraId="2FDD4636" w14:textId="43A4A7EF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támogatja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datvezérelt, kockázatalapú és teljesítményalapú tűzvédelmi szemlélet elterjedését;</w:t>
      </w:r>
    </w:p>
    <w:p w14:paraId="56DB6440" w14:textId="46A9D383" w:rsidR="00BE19EE" w:rsidRPr="00BE19EE" w:rsidRDefault="00BE19EE" w:rsidP="00601924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erősíti 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 w:rsidR="00E23E78"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="00E23E78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űzvédelemben érintett szakmai, társadalmi és gazdasági szereplők együttműködését.</w:t>
      </w:r>
    </w:p>
    <w:p w14:paraId="7DB5C9F9" w14:textId="77777777" w:rsidR="00EB63AE" w:rsidRDefault="00EB63AE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39A1D4E6" w14:textId="377704CD" w:rsid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F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órum nem helyettesíti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á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llami, önkormányzati, kamarai, hatósági vagy szakmai szervezeteket, hanem azok együttműködését kívánja erősíteni. Célja, hogy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tűzvédelem fejlesztése széles szakmai alapokon, átlátható párbeszédben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k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özös felelősségvállalás szemléletével történjen.</w:t>
      </w:r>
    </w:p>
    <w:p w14:paraId="51118CBC" w14:textId="77777777" w:rsidR="00EB63AE" w:rsidRPr="00BE19EE" w:rsidRDefault="00EB63AE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107159BE" w14:textId="77777777" w:rsidR="00BE19EE" w:rsidRPr="00BE19EE" w:rsidRDefault="00BE19EE" w:rsidP="00601924">
      <w:pPr>
        <w:keepNext/>
        <w:keepLines/>
        <w:spacing w:after="12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  <w:t>Záró gondolat</w:t>
      </w:r>
    </w:p>
    <w:p w14:paraId="678C8DDC" w14:textId="4FB9E456" w:rsidR="00BE19EE" w:rsidRP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tűzvédelemben jelentős szakmai tudás, hagyomány, gyakorlati tapasztalat és szervezeti kapacitás áll rendelkezésre. Ezt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t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udást korszerű, együttműködő, adatvezérelt és kockázatarányos rendszerbe kell rendezni.</w:t>
      </w:r>
    </w:p>
    <w:p w14:paraId="03725150" w14:textId="7764F236" w:rsidR="00BE19EE" w:rsidRDefault="00E23E78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M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agyar Tűzvédelmi Egyeztető Fórum ennek érdekében kíván szakmai párbeszédet kezdeményezni, közös gondolkodást szervezni és olyan javaslatokat megfogalmazni, amelyek hosszú távon erősítik Magyarország tűzbiztonságát,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l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akosság védelmét,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az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é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pített és természeti környezet fenntarthatóságát és 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 </w:t>
      </w:r>
      <w:r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n</w:t>
      </w:r>
      <w:r w:rsidR="00BE19EE" w:rsidRPr="00BE19EE">
        <w:rPr>
          <w:rFonts w:ascii="Times New Roman" w:eastAsia="Arial" w:hAnsi="Times New Roman" w:cs="Times New Roman"/>
          <w:kern w:val="0"/>
          <w:lang w:val="en-US"/>
          <w14:ligatures w14:val="none"/>
        </w:rPr>
        <w:t>emzetgazdaság biztonságos működését.</w:t>
      </w:r>
    </w:p>
    <w:p w14:paraId="3540B86F" w14:textId="77777777" w:rsidR="00EA748F" w:rsidRDefault="00EA748F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5229E06D" w14:textId="77777777" w:rsidR="00EA748F" w:rsidRPr="00EA748F" w:rsidRDefault="00EA748F" w:rsidP="00EA748F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EA748F">
        <w:rPr>
          <w:rFonts w:ascii="Times New Roman" w:eastAsia="Arial" w:hAnsi="Times New Roman" w:cs="Times New Roman"/>
          <w:kern w:val="0"/>
          <w14:ligatures w14:val="none"/>
        </w:rPr>
        <w:t>Budapest, 2026. május 12.</w:t>
      </w:r>
    </w:p>
    <w:p w14:paraId="2B9395A8" w14:textId="77777777" w:rsidR="00EA748F" w:rsidRPr="00EA748F" w:rsidRDefault="00EA748F" w:rsidP="00EA748F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EA748F">
        <w:rPr>
          <w:rFonts w:ascii="Times New Roman" w:eastAsia="Arial" w:hAnsi="Times New Roman" w:cs="Times New Roman"/>
          <w:kern w:val="0"/>
          <w14:ligatures w14:val="none"/>
        </w:rPr>
        <w:t>Magyar Tűzvédelmi Egyeztető Fórum</w:t>
      </w:r>
    </w:p>
    <w:p w14:paraId="32B1B9C3" w14:textId="77777777" w:rsidR="00EA748F" w:rsidRDefault="00EA748F" w:rsidP="00601924">
      <w:pPr>
        <w:spacing w:after="120" w:line="276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44D5E5AC" w14:textId="77777777" w:rsidR="008E2F49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03E63A35" w14:textId="77777777" w:rsidR="008E2F49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531F9860" w14:textId="77777777" w:rsidR="008E2F49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0211B315" w14:textId="77777777" w:rsidR="008E2F49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077444BB" w14:textId="77777777" w:rsidR="008E2F49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2F6E1DC5" w14:textId="77777777" w:rsidR="008E2F49" w:rsidRPr="00E8568D" w:rsidRDefault="008E2F49" w:rsidP="00E8568D">
      <w:pPr>
        <w:rPr>
          <w:rFonts w:ascii="Times New Roman" w:eastAsia="Arial" w:hAnsi="Times New Roman" w:cs="Times New Roman"/>
          <w:lang w:val="en-US"/>
        </w:rPr>
      </w:pPr>
    </w:p>
    <w:p w14:paraId="2747973E" w14:textId="77BBDBA7" w:rsidR="00E8568D" w:rsidRPr="00E8568D" w:rsidRDefault="00EF3C30" w:rsidP="00FF70A7">
      <w:pPr>
        <w:pBdr>
          <w:top w:val="single" w:sz="4" w:space="1" w:color="auto"/>
        </w:pBdr>
        <w:tabs>
          <w:tab w:val="left" w:pos="3120"/>
        </w:tabs>
        <w:jc w:val="center"/>
        <w:rPr>
          <w:rFonts w:ascii="Times New Roman" w:eastAsia="Arial" w:hAnsi="Times New Roman" w:cs="Times New Roman"/>
          <w:lang w:val="en-US"/>
        </w:rPr>
      </w:pPr>
      <w:r w:rsidRPr="00EF3C30">
        <w:rPr>
          <w:rFonts w:ascii="Times New Roman" w:eastAsia="Arial" w:hAnsi="Times New Roman" w:cs="Times New Roman"/>
          <w:lang w:val="en-US"/>
        </w:rPr>
        <w:drawing>
          <wp:inline distT="0" distB="0" distL="0" distR="0" wp14:anchorId="7CE68B4D" wp14:editId="01B19DAA">
            <wp:extent cx="6260465" cy="949325"/>
            <wp:effectExtent l="0" t="0" r="6985" b="3175"/>
            <wp:docPr id="196225502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550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68D" w:rsidRPr="00E8568D" w:rsidSect="00C776C8">
      <w:headerReference w:type="default" r:id="rId9"/>
      <w:footerReference w:type="default" r:id="rId10"/>
      <w:headerReference w:type="first" r:id="rId11"/>
      <w:pgSz w:w="12240" w:h="15840"/>
      <w:pgMar w:top="1134" w:right="1134" w:bottom="1134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2BFC" w14:textId="77777777" w:rsidR="00FA78F6" w:rsidRDefault="00FA78F6" w:rsidP="00BE19EE">
      <w:pPr>
        <w:spacing w:after="0" w:line="240" w:lineRule="auto"/>
      </w:pPr>
      <w:r>
        <w:separator/>
      </w:r>
    </w:p>
  </w:endnote>
  <w:endnote w:type="continuationSeparator" w:id="0">
    <w:p w14:paraId="25431560" w14:textId="77777777" w:rsidR="00FA78F6" w:rsidRDefault="00FA78F6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FA56" w14:textId="19DB57B6" w:rsidR="00BE19EE" w:rsidRPr="00376823" w:rsidRDefault="00BE19EE">
    <w:pPr>
      <w:pStyle w:val="llb"/>
      <w:jc w:val="center"/>
      <w:rPr>
        <w:rFonts w:ascii="Times New Roman" w:hAnsi="Times New Roman" w:cs="Times New Roman"/>
      </w:rPr>
    </w:pPr>
  </w:p>
  <w:p w14:paraId="7DC7748E" w14:textId="77777777" w:rsidR="00BE19EE" w:rsidRDefault="00BE19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085F" w14:textId="77777777" w:rsidR="00FA78F6" w:rsidRDefault="00FA78F6" w:rsidP="00BE19EE">
      <w:pPr>
        <w:spacing w:after="0" w:line="240" w:lineRule="auto"/>
      </w:pPr>
      <w:r>
        <w:separator/>
      </w:r>
    </w:p>
  </w:footnote>
  <w:footnote w:type="continuationSeparator" w:id="0">
    <w:p w14:paraId="76C17A80" w14:textId="77777777" w:rsidR="00FA78F6" w:rsidRDefault="00FA78F6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26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8FA6F0" w14:textId="48453671" w:rsidR="00FF70A7" w:rsidRPr="00FF70A7" w:rsidRDefault="00FF70A7">
        <w:pPr>
          <w:pStyle w:val="lfej"/>
          <w:jc w:val="center"/>
          <w:rPr>
            <w:rFonts w:ascii="Times New Roman" w:hAnsi="Times New Roman" w:cs="Times New Roman"/>
          </w:rPr>
        </w:pPr>
        <w:r w:rsidRPr="00FF70A7">
          <w:rPr>
            <w:rFonts w:ascii="Times New Roman" w:hAnsi="Times New Roman" w:cs="Times New Roman"/>
          </w:rPr>
          <w:fldChar w:fldCharType="begin"/>
        </w:r>
        <w:r w:rsidRPr="00FF70A7">
          <w:rPr>
            <w:rFonts w:ascii="Times New Roman" w:hAnsi="Times New Roman" w:cs="Times New Roman"/>
          </w:rPr>
          <w:instrText>PAGE   \* MERGEFORMAT</w:instrText>
        </w:r>
        <w:r w:rsidRPr="00FF70A7">
          <w:rPr>
            <w:rFonts w:ascii="Times New Roman" w:hAnsi="Times New Roman" w:cs="Times New Roman"/>
          </w:rPr>
          <w:fldChar w:fldCharType="separate"/>
        </w:r>
        <w:r w:rsidRPr="00FF70A7">
          <w:rPr>
            <w:rFonts w:ascii="Times New Roman" w:hAnsi="Times New Roman" w:cs="Times New Roman"/>
          </w:rPr>
          <w:t>2</w:t>
        </w:r>
        <w:r w:rsidRPr="00FF70A7">
          <w:rPr>
            <w:rFonts w:ascii="Times New Roman" w:hAnsi="Times New Roman" w:cs="Times New Roman"/>
          </w:rPr>
          <w:fldChar w:fldCharType="end"/>
        </w:r>
      </w:p>
    </w:sdtContent>
  </w:sdt>
  <w:p w14:paraId="11DA5254" w14:textId="77777777" w:rsidR="00FF70A7" w:rsidRDefault="00FF70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7E31" w14:textId="0EC16B5A" w:rsidR="00C776C8" w:rsidRDefault="005922A4" w:rsidP="005922A4">
    <w:pPr>
      <w:pStyle w:val="lfej"/>
      <w:jc w:val="center"/>
    </w:pPr>
    <w:r>
      <w:rPr>
        <w:noProof/>
      </w:rPr>
      <w:drawing>
        <wp:inline distT="0" distB="0" distL="0" distR="0" wp14:anchorId="0ECACCE4" wp14:editId="27C8C031">
          <wp:extent cx="1036955" cy="1093317"/>
          <wp:effectExtent l="0" t="0" r="0" b="0"/>
          <wp:docPr id="58360118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11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228" cy="109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19C"/>
    <w:multiLevelType w:val="hybridMultilevel"/>
    <w:tmpl w:val="668432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2D14"/>
    <w:multiLevelType w:val="hybridMultilevel"/>
    <w:tmpl w:val="1CBC9A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787"/>
    <w:multiLevelType w:val="hybridMultilevel"/>
    <w:tmpl w:val="D7EAEB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80959">
    <w:abstractNumId w:val="2"/>
  </w:num>
  <w:num w:numId="2" w16cid:durableId="1236551464">
    <w:abstractNumId w:val="0"/>
  </w:num>
  <w:num w:numId="3" w16cid:durableId="2930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15"/>
    <w:rsid w:val="00111C73"/>
    <w:rsid w:val="001367B7"/>
    <w:rsid w:val="00167398"/>
    <w:rsid w:val="00190BAB"/>
    <w:rsid w:val="00192C7F"/>
    <w:rsid w:val="00391611"/>
    <w:rsid w:val="003D1FA4"/>
    <w:rsid w:val="00401639"/>
    <w:rsid w:val="004D33F1"/>
    <w:rsid w:val="004F1FB7"/>
    <w:rsid w:val="005507D2"/>
    <w:rsid w:val="00552F9D"/>
    <w:rsid w:val="00571812"/>
    <w:rsid w:val="005922A4"/>
    <w:rsid w:val="005B793A"/>
    <w:rsid w:val="00601924"/>
    <w:rsid w:val="00626336"/>
    <w:rsid w:val="006356D7"/>
    <w:rsid w:val="00651A85"/>
    <w:rsid w:val="00717C53"/>
    <w:rsid w:val="007B658D"/>
    <w:rsid w:val="00820945"/>
    <w:rsid w:val="008E2F49"/>
    <w:rsid w:val="009C3BB0"/>
    <w:rsid w:val="009C4BB9"/>
    <w:rsid w:val="00A202CD"/>
    <w:rsid w:val="00A2645D"/>
    <w:rsid w:val="00B134BC"/>
    <w:rsid w:val="00BD4225"/>
    <w:rsid w:val="00BD7AD5"/>
    <w:rsid w:val="00BE19EE"/>
    <w:rsid w:val="00BF55AA"/>
    <w:rsid w:val="00C776C8"/>
    <w:rsid w:val="00D001D9"/>
    <w:rsid w:val="00D01A85"/>
    <w:rsid w:val="00D46975"/>
    <w:rsid w:val="00D61A0D"/>
    <w:rsid w:val="00D67D5E"/>
    <w:rsid w:val="00DA59CF"/>
    <w:rsid w:val="00DB1970"/>
    <w:rsid w:val="00DC3C5C"/>
    <w:rsid w:val="00DD33F0"/>
    <w:rsid w:val="00DE00CB"/>
    <w:rsid w:val="00DE6515"/>
    <w:rsid w:val="00DF12C1"/>
    <w:rsid w:val="00E04C44"/>
    <w:rsid w:val="00E23E78"/>
    <w:rsid w:val="00E725A0"/>
    <w:rsid w:val="00E8568D"/>
    <w:rsid w:val="00E94679"/>
    <w:rsid w:val="00E95641"/>
    <w:rsid w:val="00E96480"/>
    <w:rsid w:val="00EA748F"/>
    <w:rsid w:val="00EB63AE"/>
    <w:rsid w:val="00EE4BEE"/>
    <w:rsid w:val="00EF3C30"/>
    <w:rsid w:val="00F07250"/>
    <w:rsid w:val="00F129BE"/>
    <w:rsid w:val="00F13C1E"/>
    <w:rsid w:val="00F435FF"/>
    <w:rsid w:val="00FA78F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E2DFF"/>
  <w15:chartTrackingRefBased/>
  <w15:docId w15:val="{24EA8CFC-A998-446F-A362-DD081CE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65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65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65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65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65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65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65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65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65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65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6515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19EE"/>
  </w:style>
  <w:style w:type="paragraph" w:styleId="lfej">
    <w:name w:val="header"/>
    <w:basedOn w:val="Norml"/>
    <w:link w:val="lfej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09F0-8684-4E68-8452-ACF2BFA4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1554</Words>
  <Characters>11414</Characters>
  <Application>Microsoft Office Word</Application>
  <DocSecurity>0</DocSecurity>
  <Lines>207</Lines>
  <Paragraphs>87</Paragraphs>
  <ScaleCrop>false</ScaleCrop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Gyapjas</dc:creator>
  <cp:keywords/>
  <dc:description/>
  <cp:lastModifiedBy>János Gyapjas</cp:lastModifiedBy>
  <cp:revision>11</cp:revision>
  <dcterms:created xsi:type="dcterms:W3CDTF">2026-05-12T17:18:00Z</dcterms:created>
  <dcterms:modified xsi:type="dcterms:W3CDTF">2026-05-12T17:36:00Z</dcterms:modified>
</cp:coreProperties>
</file>